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5360" w:rsidRDefault="00AC5360">
      <w:pPr>
        <w:rPr>
          <w:b/>
        </w:rPr>
      </w:pPr>
      <w:r>
        <w:rPr>
          <w:b/>
        </w:rPr>
        <w:t xml:space="preserve">Prova da Desigualdade Triangular: </w:t>
      </w:r>
      <w:r>
        <w:rPr>
          <w:b/>
          <w:position w:val="-14"/>
          <w:sz w:val="20"/>
        </w:rPr>
        <w:object w:dxaOrig="18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93.75pt;height:20.25pt" o:ole="" fillcolor="window">
            <v:imagedata r:id="rId4" o:title=""/>
          </v:shape>
          <o:OLEObject Type="Embed" ProgID="Equation.3" ShapeID="_x0000_i1030" DrawAspect="Content" ObjectID="_1844754122" r:id="rId5"/>
        </w:object>
      </w:r>
    </w:p>
    <w:p w:rsidR="00AC5360" w:rsidRDefault="00AC5360"/>
    <w:p w:rsidR="00AC5360" w:rsidRDefault="00AC5360">
      <w:pPr>
        <w:ind w:left="708"/>
      </w:pPr>
      <w:r>
        <w:t xml:space="preserve">Lembremos que: </w:t>
      </w:r>
      <w:r>
        <w:rPr>
          <w:position w:val="-14"/>
          <w:sz w:val="20"/>
        </w:rPr>
        <w:object w:dxaOrig="999" w:dyaOrig="440">
          <v:shape id="_x0000_i1031" type="#_x0000_t75" style="width:50.25pt;height:21.75pt" o:ole="" fillcolor="window">
            <v:imagedata r:id="rId6" o:title=""/>
          </v:shape>
          <o:OLEObject Type="Embed" ProgID="Equation.3" ShapeID="_x0000_i1031" DrawAspect="Content" ObjectID="_1844754123" r:id="rId7"/>
        </w:object>
      </w:r>
    </w:p>
    <w:p w:rsidR="00AC5360" w:rsidRDefault="00AC5360">
      <w:pPr>
        <w:ind w:left="708"/>
      </w:pPr>
      <w:r>
        <w:t>Daí temos que:</w:t>
      </w:r>
    </w:p>
    <w:p w:rsidR="00AC5360" w:rsidRDefault="00AC5360">
      <w:pPr>
        <w:ind w:left="708"/>
      </w:pPr>
      <w:r>
        <w:rPr>
          <w:position w:val="-38"/>
          <w:sz w:val="20"/>
        </w:rPr>
        <w:object w:dxaOrig="7200" w:dyaOrig="880">
          <v:shape id="_x0000_i1032" type="#_x0000_t75" style="width:5in;height:44.25pt" o:ole="" fillcolor="window">
            <v:imagedata r:id="rId8" o:title=""/>
          </v:shape>
          <o:OLEObject Type="Embed" ProgID="Equation.3" ShapeID="_x0000_i1032" DrawAspect="Content" ObjectID="_1844754124" r:id="rId9"/>
        </w:object>
      </w:r>
    </w:p>
    <w:p w:rsidR="00AC5360" w:rsidRDefault="00AC5360">
      <w:pPr>
        <w:ind w:left="708"/>
      </w:pPr>
      <w:r>
        <w:rPr>
          <w:noProof/>
        </w:rPr>
        <w:object w:dxaOrig="1880" w:dyaOrig="400">
          <v:shape id="_x0000_s1031" type="#_x0000_t75" style="position:absolute;left:0;text-align:left;margin-left:35.15pt;margin-top:14.55pt;width:175pt;height:23pt;z-index:251655680;mso-position-horizontal:absolute;mso-position-horizontal-relative:text;mso-position-vertical:absolute;mso-position-vertical-relative:text" o:allowincell="f">
            <v:imagedata r:id="rId10" o:title=""/>
            <w10:wrap type="topAndBottom"/>
          </v:shape>
          <o:OLEObject Type="Embed" ProgID="Equation.3" ShapeID="_x0000_s1031" DrawAspect="Content" ObjectID="_1844754139" r:id="rId11"/>
        </w:object>
      </w:r>
      <w:r>
        <w:t xml:space="preserve">Utilizando a propriedade </w:t>
      </w:r>
      <w:r>
        <w:rPr>
          <w:position w:val="-4"/>
          <w:sz w:val="20"/>
        </w:rPr>
        <w:object w:dxaOrig="580" w:dyaOrig="279">
          <v:shape id="_x0000_i1033" type="#_x0000_t75" style="width:29.25pt;height:14.25pt" o:ole="" fillcolor="window">
            <v:imagedata r:id="rId12" o:title=""/>
          </v:shape>
          <o:OLEObject Type="Embed" ProgID="Equation.3" ShapeID="_x0000_i1033" DrawAspect="Content" ObjectID="_1844754125" r:id="rId13"/>
        </w:object>
      </w:r>
      <w:r>
        <w:t>, teremos:</w:t>
      </w:r>
    </w:p>
    <w:p w:rsidR="00AC5360" w:rsidRDefault="00AC5360">
      <w:pPr>
        <w:ind w:left="708"/>
      </w:pPr>
      <w:r>
        <w:rPr>
          <w:noProof/>
        </w:rPr>
        <w:object w:dxaOrig="1880" w:dyaOrig="400">
          <v:shape id="_x0000_s1032" type="#_x0000_t75" style="position:absolute;left:0;text-align:left;margin-left:32.95pt;margin-top:40pt;width:170pt;height:22pt;z-index:251656704;mso-position-horizontal:absolute;mso-position-horizontal-relative:text;mso-position-vertical:absolute;mso-position-vertical-relative:text" o:allowincell="f">
            <v:imagedata r:id="rId14" o:title=""/>
            <w10:wrap type="topAndBottom"/>
          </v:shape>
          <o:OLEObject Type="Embed" ProgID="Equation.3" ShapeID="_x0000_s1032" DrawAspect="Content" ObjectID="_1844754140" r:id="rId15"/>
        </w:object>
      </w:r>
      <w:r>
        <w:t xml:space="preserve">Lembrando agora que </w:t>
      </w:r>
      <w:r>
        <w:rPr>
          <w:position w:val="-10"/>
          <w:sz w:val="20"/>
        </w:rPr>
        <w:object w:dxaOrig="1480" w:dyaOrig="340">
          <v:shape id="_x0000_i1034" type="#_x0000_t75" style="width:74.25pt;height:17.25pt" o:ole="" fillcolor="window">
            <v:imagedata r:id="rId16" o:title=""/>
          </v:shape>
          <o:OLEObject Type="Embed" ProgID="Equation.3" ShapeID="_x0000_i1034" DrawAspect="Content" ObjectID="_1844754126" r:id="rId17"/>
        </w:object>
      </w:r>
      <w:r>
        <w:t xml:space="preserve"> chegaremos a:</w:t>
      </w:r>
    </w:p>
    <w:p w:rsidR="00AC5360" w:rsidRDefault="00AC5360">
      <w:pPr>
        <w:ind w:left="708"/>
      </w:pPr>
      <w:r>
        <w:rPr>
          <w:noProof/>
        </w:rPr>
        <w:object w:dxaOrig="1880" w:dyaOrig="400">
          <v:shape id="_x0000_s1033" type="#_x0000_t75" style="position:absolute;left:0;text-align:left;margin-left:32.95pt;margin-top:42.15pt;width:294.95pt;height:24pt;z-index:251657728;mso-position-horizontal:absolute;mso-position-horizontal-relative:text;mso-position-vertical:absolute;mso-position-vertical-relative:text" o:allowincell="f">
            <v:imagedata r:id="rId18" o:title=""/>
            <w10:wrap type="topAndBottom"/>
          </v:shape>
          <o:OLEObject Type="Embed" ProgID="Equation.3" ShapeID="_x0000_s1033" DrawAspect="Content" ObjectID="_1844754141" r:id="rId19"/>
        </w:object>
      </w:r>
      <w:r>
        <w:t xml:space="preserve">Sabemos também que: </w:t>
      </w:r>
      <w:r>
        <w:rPr>
          <w:position w:val="-14"/>
          <w:sz w:val="20"/>
        </w:rPr>
        <w:object w:dxaOrig="1420" w:dyaOrig="400">
          <v:shape id="_x0000_i1035" type="#_x0000_t75" style="width:71.25pt;height:20.25pt" o:ole="" fillcolor="window">
            <v:imagedata r:id="rId20" o:title=""/>
          </v:shape>
          <o:OLEObject Type="Embed" ProgID="Equation.3" ShapeID="_x0000_i1035" DrawAspect="Content" ObjectID="_1844754127" r:id="rId21"/>
        </w:object>
      </w:r>
      <w:r>
        <w:t>, logo:</w:t>
      </w:r>
    </w:p>
    <w:p w:rsidR="00AC5360" w:rsidRDefault="00AC5360">
      <w:pPr>
        <w:ind w:left="708"/>
      </w:pPr>
      <w:r>
        <w:t xml:space="preserve">Mas </w:t>
      </w:r>
      <w:r>
        <w:rPr>
          <w:position w:val="-14"/>
          <w:sz w:val="20"/>
        </w:rPr>
        <w:object w:dxaOrig="1100" w:dyaOrig="400">
          <v:shape id="_x0000_i1036" type="#_x0000_t75" style="width:54.75pt;height:20.25pt" o:ole="" fillcolor="window">
            <v:imagedata r:id="rId22" o:title=""/>
          </v:shape>
          <o:OLEObject Type="Embed" ProgID="Equation.3" ShapeID="_x0000_i1036" DrawAspect="Content" ObjectID="_1844754128" r:id="rId23"/>
        </w:object>
      </w:r>
      <w:r>
        <w:t>, daí:</w:t>
      </w:r>
    </w:p>
    <w:p w:rsidR="00AC5360" w:rsidRDefault="00AC5360">
      <w:pPr>
        <w:ind w:left="708"/>
      </w:pPr>
      <w:r>
        <w:rPr>
          <w:position w:val="-64"/>
          <w:sz w:val="20"/>
        </w:rPr>
        <w:object w:dxaOrig="5560" w:dyaOrig="1440">
          <v:shape id="_x0000_i1037" type="#_x0000_t75" style="width:278.25pt;height:1in" o:ole="" fillcolor="window">
            <v:imagedata r:id="rId24" o:title=""/>
          </v:shape>
          <o:OLEObject Type="Embed" ProgID="Equation.3" ShapeID="_x0000_i1037" DrawAspect="Content" ObjectID="_1844754129" r:id="rId25"/>
        </w:object>
      </w:r>
    </w:p>
    <w:p w:rsidR="00AC5360" w:rsidRDefault="00AC5360">
      <w:pPr>
        <w:ind w:left="708"/>
      </w:pPr>
    </w:p>
    <w:p w:rsidR="00AC5360" w:rsidRDefault="00AC5360">
      <w:pPr>
        <w:ind w:left="708"/>
      </w:pPr>
      <w:r>
        <w:rPr>
          <w:position w:val="-14"/>
          <w:sz w:val="20"/>
        </w:rPr>
        <w:object w:dxaOrig="1820" w:dyaOrig="400">
          <v:shape id="_x0000_i1038" type="#_x0000_t75" style="width:90.75pt;height:20.25pt" o:ole="" fillcolor="window">
            <v:imagedata r:id="rId26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38" DrawAspect="Content" ObjectID="_1844754130" r:id="rId27"/>
        </w:object>
      </w:r>
    </w:p>
    <w:p w:rsidR="00AC5360" w:rsidRDefault="00AC5360">
      <w:pPr>
        <w:ind w:left="708"/>
      </w:pPr>
    </w:p>
    <w:p w:rsidR="00AC5360" w:rsidRDefault="00AC5360">
      <w:pPr>
        <w:ind w:left="708"/>
      </w:pPr>
    </w:p>
    <w:p w:rsidR="00AC5360" w:rsidRDefault="00AC5360">
      <w:pPr>
        <w:ind w:left="708"/>
      </w:pPr>
      <w:r>
        <w:rPr>
          <w:b/>
        </w:rPr>
        <w:t>Interpretação Geométrica:</w:t>
      </w:r>
    </w:p>
    <w:p w:rsidR="00AC5360" w:rsidRDefault="00AC5360">
      <w:pPr>
        <w:ind w:left="708"/>
      </w:pPr>
    </w:p>
    <w:p w:rsidR="00AC5360" w:rsidRDefault="00AC5360">
      <w:pPr>
        <w:ind w:left="708"/>
        <w:jc w:val="both"/>
      </w:pPr>
      <w:r>
        <w:rPr>
          <w:noProof/>
        </w:rPr>
        <w:object w:dxaOrig="1880" w:dyaOrig="400">
          <v:shape id="_x0000_s1040" type="#_x0000_t75" style="position:absolute;left:0;text-align:left;margin-left:78.35pt;margin-top:67.2pt;width:285.75pt;height:3in;z-index:251658752;mso-position-horizontal:absolute;mso-position-horizontal-relative:text;mso-position-vertical:absolute;mso-position-vertical-relative:text" o:allowincell="f">
            <v:imagedata r:id="rId28" o:title=""/>
            <w10:wrap type="topAndBottom"/>
          </v:shape>
          <o:OLEObject Type="Embed" ProgID="PBrush" ShapeID="_x0000_s1040" DrawAspect="Content" ObjectID="_1844754142" r:id="rId29"/>
        </w:object>
      </w:r>
      <w:r>
        <w:t xml:space="preserve">Observe na figura abaixo rebatemos </w:t>
      </w:r>
      <w:r>
        <w:rPr>
          <w:position w:val="-10"/>
          <w:sz w:val="20"/>
        </w:rPr>
        <w:object w:dxaOrig="240" w:dyaOrig="340">
          <v:shape id="_x0000_i1039" type="#_x0000_t75" style="width:12pt;height:17.25pt" o:ole="" fillcolor="window">
            <v:imagedata r:id="rId30" o:title=""/>
          </v:shape>
          <o:OLEObject Type="Embed" ProgID="Equation.3" ShapeID="_x0000_i1039" DrawAspect="Content" ObjectID="_1844754131" r:id="rId31"/>
        </w:object>
      </w:r>
      <w:r>
        <w:t xml:space="preserve"> sobre o eixo real e  </w:t>
      </w:r>
      <w:r>
        <w:rPr>
          <w:position w:val="-10"/>
          <w:sz w:val="20"/>
        </w:rPr>
        <w:object w:dxaOrig="260" w:dyaOrig="340">
          <v:shape id="_x0000_i1040" type="#_x0000_t75" style="width:12.75pt;height:17.25pt" o:ole="" fillcolor="window">
            <v:imagedata r:id="rId32" o:title=""/>
          </v:shape>
          <o:OLEObject Type="Embed" ProgID="Equation.3" ShapeID="_x0000_i1040" DrawAspect="Content" ObjectID="_1844754132" r:id="rId33"/>
        </w:object>
      </w:r>
      <w:r>
        <w:t xml:space="preserve"> sobre a reta supo</w:t>
      </w:r>
      <w:r>
        <w:t xml:space="preserve">rte de </w:t>
      </w:r>
      <w:r>
        <w:rPr>
          <w:position w:val="-10"/>
          <w:sz w:val="20"/>
        </w:rPr>
        <w:object w:dxaOrig="240" w:dyaOrig="340">
          <v:shape id="_x0000_i1041" type="#_x0000_t75" style="width:12pt;height:17.25pt" o:ole="" fillcolor="window">
            <v:imagedata r:id="rId34" o:title=""/>
          </v:shape>
          <o:OLEObject Type="Embed" ProgID="Equation.3" ShapeID="_x0000_i1041" DrawAspect="Content" ObjectID="_1844754133" r:id="rId35"/>
        </w:object>
      </w:r>
      <w:r>
        <w:t>, obtendo assim vetores auxiliares, indicados em vermelho e verde, cujos módulos são iguais ao</w:t>
      </w:r>
      <w:r>
        <w:t>s</w:t>
      </w:r>
      <w:r>
        <w:t xml:space="preserve"> de </w:t>
      </w:r>
      <w:r>
        <w:rPr>
          <w:position w:val="-10"/>
          <w:sz w:val="20"/>
        </w:rPr>
        <w:object w:dxaOrig="240" w:dyaOrig="340">
          <v:shape id="_x0000_i1042" type="#_x0000_t75" style="width:12pt;height:17.25pt" o:ole="" fillcolor="window">
            <v:imagedata r:id="rId30" o:title=""/>
          </v:shape>
          <o:OLEObject Type="Embed" ProgID="Equation.3" ShapeID="_x0000_i1042" DrawAspect="Content" ObjectID="_1844754134" r:id="rId36"/>
        </w:object>
      </w:r>
      <w:r>
        <w:t xml:space="preserve"> e </w:t>
      </w:r>
      <w:r>
        <w:rPr>
          <w:position w:val="-10"/>
          <w:sz w:val="20"/>
        </w:rPr>
        <w:object w:dxaOrig="260" w:dyaOrig="340">
          <v:shape id="_x0000_i1043" type="#_x0000_t75" style="width:12.75pt;height:17.25pt" o:ole="" fillcolor="window">
            <v:imagedata r:id="rId32" o:title=""/>
          </v:shape>
          <o:OLEObject Type="Embed" ProgID="Equation.3" ShapeID="_x0000_i1043" DrawAspect="Content" ObjectID="_1844754135" r:id="rId37"/>
        </w:object>
      </w:r>
      <w:r>
        <w:t xml:space="preserve"> respectivamente</w:t>
      </w:r>
      <w:r>
        <w:t xml:space="preserve">: </w:t>
      </w:r>
    </w:p>
    <w:p w:rsidR="00AC5360" w:rsidRDefault="00AC5360">
      <w:pPr>
        <w:ind w:left="708"/>
        <w:jc w:val="both"/>
      </w:pPr>
    </w:p>
    <w:p w:rsidR="00AC5360" w:rsidRDefault="00AC5360">
      <w:pPr>
        <w:ind w:left="708"/>
        <w:jc w:val="both"/>
      </w:pPr>
      <w:r>
        <w:t xml:space="preserve">Procedemos, em seguida, com os rebatimento sobre o eixo real; </w:t>
      </w:r>
      <w:r>
        <w:t>chegando</w:t>
      </w:r>
      <w:r>
        <w:t xml:space="preserve"> </w:t>
      </w:r>
      <w:r>
        <w:t>à</w:t>
      </w:r>
      <w:r>
        <w:t xml:space="preserve"> figura abaixo:</w:t>
      </w:r>
    </w:p>
    <w:p w:rsidR="00AC5360" w:rsidRDefault="00AC5360">
      <w:pPr>
        <w:ind w:left="708"/>
        <w:jc w:val="both"/>
      </w:pPr>
      <w:r>
        <w:object w:dxaOrig="1880" w:dyaOrig="400">
          <v:shape id="_x0000_s1042" type="#_x0000_t75" style="position:absolute;left:0;text-align:left;margin-left:74.85pt;margin-top:13.8pt;width:286.5pt;height:225pt;z-index:251659776;mso-position-horizontal:absolute;mso-position-horizontal-relative:text;mso-position-vertical:absolute;mso-position-vertical-relative:text" o:allowincell="f">
            <v:imagedata r:id="rId38" o:title=""/>
            <w10:wrap type="topAndBottom"/>
          </v:shape>
          <o:OLEObject Type="Embed" ProgID="PBrush" ShapeID="_x0000_s1042" DrawAspect="Content" ObjectID="_1844754143" r:id="rId39"/>
        </w:object>
      </w:r>
    </w:p>
    <w:p w:rsidR="00AC5360" w:rsidRDefault="00AC5360">
      <w:pPr>
        <w:ind w:left="708"/>
        <w:jc w:val="both"/>
      </w:pPr>
    </w:p>
    <w:p w:rsidR="00AC5360" w:rsidRDefault="00AC5360">
      <w:pPr>
        <w:ind w:left="708"/>
        <w:jc w:val="both"/>
      </w:pPr>
      <w:r>
        <w:t>Percebemos facilmente que</w:t>
      </w:r>
      <w:r>
        <w:rPr>
          <w:position w:val="-14"/>
          <w:sz w:val="20"/>
        </w:rPr>
        <w:object w:dxaOrig="1820" w:dyaOrig="400">
          <v:shape id="_x0000_i1044" type="#_x0000_t75" style="width:90.75pt;height:20.25pt" o:ole="" fillcolor="window">
            <v:imagedata r:id="rId26" o:title=""/>
          </v:shape>
          <o:OLEObject Type="Embed" ProgID="Equation.3" ShapeID="_x0000_i1044" DrawAspect="Content" ObjectID="_1844754136" r:id="rId40"/>
        </w:object>
      </w:r>
      <w:r>
        <w:t xml:space="preserve">, a igualdade; ocorrerá quando </w:t>
      </w:r>
      <w:r>
        <w:rPr>
          <w:position w:val="-10"/>
        </w:rPr>
        <w:object w:dxaOrig="240" w:dyaOrig="340">
          <v:shape id="_x0000_i1045" type="#_x0000_t75" style="width:12pt;height:17.25pt" o:ole="" fillcolor="window">
            <v:imagedata r:id="rId41" o:title=""/>
          </v:shape>
          <o:OLEObject Type="Embed" ProgID="Equation.3" ShapeID="_x0000_i1045" DrawAspect="Content" ObjectID="_1844754137" r:id="rId42"/>
        </w:object>
      </w:r>
      <w:r>
        <w:t xml:space="preserve"> e </w:t>
      </w:r>
      <w:r>
        <w:rPr>
          <w:position w:val="-10"/>
        </w:rPr>
        <w:object w:dxaOrig="260" w:dyaOrig="340">
          <v:shape id="_x0000_i1046" type="#_x0000_t75" style="width:12.75pt;height:17.25pt" o:ole="" fillcolor="window">
            <v:imagedata r:id="rId43" o:title=""/>
          </v:shape>
          <o:OLEObject Type="Embed" ProgID="Equation.3" ShapeID="_x0000_i1046" DrawAspect="Content" ObjectID="_1844754138" r:id="rId44"/>
        </w:object>
      </w:r>
      <w:r>
        <w:t xml:space="preserve"> forem </w:t>
      </w:r>
      <w:r>
        <w:t>paralelos</w:t>
      </w:r>
      <w:r>
        <w:t>.</w:t>
      </w:r>
    </w:p>
    <w:p w:rsidR="00AC5360" w:rsidRDefault="00AC5360">
      <w:pPr>
        <w:ind w:left="708"/>
        <w:jc w:val="both"/>
      </w:pPr>
    </w:p>
    <w:p w:rsidR="00AC5360" w:rsidRDefault="00AC5360">
      <w:pPr>
        <w:ind w:left="708"/>
        <w:jc w:val="both"/>
      </w:pPr>
    </w:p>
    <w:p w:rsidR="00AC5360" w:rsidRDefault="00AC5360">
      <w:pPr>
        <w:ind w:left="708"/>
        <w:jc w:val="right"/>
      </w:pPr>
      <w:r>
        <w:rPr>
          <w:b/>
          <w:i/>
        </w:rPr>
        <w:t>Robson Silva de Sousa</w:t>
      </w:r>
    </w:p>
    <w:p w:rsidR="00AC5360" w:rsidRDefault="00AC5360">
      <w:pPr>
        <w:ind w:left="708"/>
        <w:jc w:val="right"/>
      </w:pPr>
    </w:p>
    <w:p w:rsidR="00AC5360" w:rsidRDefault="00AC5360">
      <w:pPr>
        <w:ind w:left="708"/>
        <w:jc w:val="both"/>
      </w:pPr>
    </w:p>
    <w:p w:rsidR="00AC5360" w:rsidRDefault="00AC5360">
      <w:pPr>
        <w:ind w:left="708"/>
        <w:jc w:val="both"/>
        <w:rPr>
          <w:b/>
          <w:i/>
        </w:rPr>
      </w:pPr>
    </w:p>
    <w:p w:rsidR="00AC5360" w:rsidRDefault="00AC5360">
      <w:pPr>
        <w:ind w:left="708"/>
        <w:jc w:val="both"/>
      </w:pPr>
      <w:r>
        <w:rPr>
          <w:b/>
          <w:i/>
        </w:rPr>
        <w:t>Bibliografia:</w:t>
      </w:r>
    </w:p>
    <w:p w:rsidR="00AC5360" w:rsidRDefault="00AC5360">
      <w:pPr>
        <w:ind w:left="708"/>
        <w:jc w:val="both"/>
      </w:pPr>
    </w:p>
    <w:p w:rsidR="00AC5360" w:rsidRDefault="00AC5360">
      <w:pPr>
        <w:ind w:left="708"/>
        <w:jc w:val="both"/>
        <w:rPr>
          <w:i/>
        </w:rPr>
      </w:pPr>
      <w:r>
        <w:rPr>
          <w:i/>
        </w:rPr>
        <w:t>Funções de Uma Variável Complexa</w:t>
      </w:r>
    </w:p>
    <w:p w:rsidR="00AC5360" w:rsidRDefault="00AC5360">
      <w:pPr>
        <w:ind w:left="708"/>
        <w:jc w:val="both"/>
        <w:rPr>
          <w:i/>
        </w:rPr>
      </w:pPr>
      <w:r>
        <w:rPr>
          <w:i/>
        </w:rPr>
        <w:t>Ávila, Geraldo S. S.</w:t>
      </w:r>
    </w:p>
    <w:p w:rsidR="00AC5360" w:rsidRDefault="00AC5360">
      <w:pPr>
        <w:ind w:left="708"/>
        <w:jc w:val="both"/>
        <w:rPr>
          <w:i/>
        </w:rPr>
      </w:pPr>
      <w:r>
        <w:rPr>
          <w:i/>
        </w:rPr>
        <w:t>Livros Técnicos e Científicos Editora S.A.</w:t>
      </w:r>
    </w:p>
    <w:p w:rsidR="00AC5360" w:rsidRDefault="00AC5360">
      <w:pPr>
        <w:ind w:left="708"/>
        <w:jc w:val="both"/>
        <w:rPr>
          <w:i/>
        </w:rPr>
      </w:pPr>
      <w:r>
        <w:rPr>
          <w:i/>
        </w:rPr>
        <w:t>Editora Universidade de Brasília</w:t>
      </w:r>
    </w:p>
    <w:p w:rsidR="00AC5360" w:rsidRDefault="00AC5360">
      <w:pPr>
        <w:ind w:left="708"/>
        <w:jc w:val="both"/>
        <w:rPr>
          <w:i/>
        </w:rPr>
      </w:pPr>
      <w:r>
        <w:rPr>
          <w:i/>
        </w:rPr>
        <w:t>1974</w:t>
      </w:r>
    </w:p>
    <w:p w:rsidR="00AC5360" w:rsidRDefault="00AC5360">
      <w:pPr>
        <w:ind w:left="708"/>
        <w:jc w:val="both"/>
      </w:pPr>
    </w:p>
    <w:sectPr w:rsidR="00AC5360">
      <w:pgSz w:w="11907" w:h="16840" w:code="9"/>
      <w:pgMar w:top="1418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82A"/>
    <w:rsid w:val="00AC5360"/>
    <w:rsid w:val="00E2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/>
    <o:shapelayout v:ext="edit">
      <o:idmap v:ext="edit" data="1"/>
    </o:shapelayout>
  </w:shapeDefaults>
  <w:decimalSymbol w:val="."/>
  <w:listSeparator w:val=","/>
  <w15:chartTrackingRefBased/>
  <w15:docId w15:val="{18AEB41E-10E0-479C-BB67-C9F88B341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9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oleObject" Target="embeddings/oleObject21.bin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8.bin"/><Relationship Id="rId40" Type="http://schemas.openxmlformats.org/officeDocument/2006/relationships/oleObject" Target="embeddings/oleObject20.bin"/><Relationship Id="rId45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png"/><Relationship Id="rId36" Type="http://schemas.openxmlformats.org/officeDocument/2006/relationships/oleObject" Target="embeddings/oleObject17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2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image" Target="media/image19.wmf"/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7.png"/><Relationship Id="rId46" Type="http://schemas.openxmlformats.org/officeDocument/2006/relationships/theme" Target="theme/theme1.xml"/><Relationship Id="rId20" Type="http://schemas.openxmlformats.org/officeDocument/2006/relationships/image" Target="media/image9.wmf"/><Relationship Id="rId41" Type="http://schemas.openxmlformats.org/officeDocument/2006/relationships/image" Target="media/image1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Prova da Desigualdade Triangular:  </vt:lpstr>
    </vt:vector>
  </TitlesOfParts>
  <Company> 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Prova da Desigualdade Triangular:  </dc:title>
  <dc:subject/>
  <dc:creator>Robson Silva de Sousa</dc:creator>
  <cp:keywords/>
  <cp:lastModifiedBy>Robson Silva de Sousa</cp:lastModifiedBy>
  <cp:revision>40</cp:revision>
  <dcterms:created xsi:type="dcterms:W3CDTF">2026-07-05T17:56:00Z</dcterms:created>
  <dcterms:modified xsi:type="dcterms:W3CDTF">2026-07-05T17:56:00Z</dcterms:modified>
</cp:coreProperties>
</file>